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B4" w:rsidRPr="009D27B4" w:rsidRDefault="009D27B4" w:rsidP="009D27B4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9D27B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</w:t>
      </w:r>
      <w:bookmarkStart w:id="0" w:name="_GoBack"/>
      <w:bookmarkEnd w:id="0"/>
      <w:r w:rsidRPr="009D27B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атья 18. Правление товарищества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27B4">
        <w:rPr>
          <w:rFonts w:ascii="Arial" w:eastAsia="Times New Roman" w:hAnsi="Arial" w:cs="Arial"/>
          <w:sz w:val="24"/>
          <w:szCs w:val="24"/>
          <w:lang w:eastAsia="ru-RU"/>
        </w:rPr>
        <w:t>. Правление товарищества подотчетно общему собранию членов товарищества.</w:t>
      </w:r>
    </w:p>
    <w:p w:rsid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2. Председатель товарищества является членом правления товарищества и его председателем.</w:t>
      </w:r>
    </w:p>
    <w:p w:rsidR="0006736D" w:rsidRPr="009D27B4" w:rsidRDefault="0006736D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b/>
          <w:sz w:val="24"/>
          <w:szCs w:val="24"/>
          <w:lang w:eastAsia="ru-RU"/>
        </w:rPr>
        <w:t>3.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товарищества. В случае, если количество членов товарищества не превышает шестидесяти человек, количество членов правления товарищества должно составлять три человека.</w:t>
      </w:r>
    </w:p>
    <w:p w:rsidR="009D27B4" w:rsidRPr="009D27B4" w:rsidRDefault="009D27B4" w:rsidP="009D27B4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highlight w:val="yellow"/>
          <w:lang w:eastAsia="ru-RU"/>
        </w:rPr>
      </w:pPr>
      <w:r w:rsidRPr="009D27B4">
        <w:rPr>
          <w:rFonts w:ascii="Times New Roman" w:eastAsia="Times New Roman" w:hAnsi="Times New Roman" w:cs="Times New Roman"/>
          <w:color w:val="828282"/>
          <w:sz w:val="28"/>
          <w:szCs w:val="28"/>
          <w:highlight w:val="yellow"/>
          <w:lang w:eastAsia="ru-RU"/>
        </w:rPr>
        <w:t>(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highlight w:val="yellow"/>
          <w:lang w:eastAsia="ru-RU"/>
        </w:rPr>
        <w:t>Часть 3 изменена с</w:t>
      </w:r>
      <w:r w:rsidRPr="009D27B4">
        <w:rPr>
          <w:rFonts w:ascii="Times New Roman" w:eastAsia="Times New Roman" w:hAnsi="Times New Roman" w:cs="Times New Roman"/>
          <w:color w:val="828282"/>
          <w:sz w:val="28"/>
          <w:szCs w:val="28"/>
          <w:highlight w:val="yellow"/>
          <w:lang w:eastAsia="ru-RU"/>
        </w:rPr>
        <w:t xml:space="preserve"> 14.07.2022 N 312-ФЗ в ред. Федерального </w:t>
      </w:r>
      <w:hyperlink r:id="rId6" w:anchor="dst100107" w:history="1">
        <w:r w:rsidRPr="009D27B4">
          <w:rPr>
            <w:rFonts w:ascii="Times New Roman" w:eastAsia="Times New Roman" w:hAnsi="Times New Roman" w:cs="Times New Roman"/>
            <w:color w:val="1A0DAB"/>
            <w:sz w:val="28"/>
            <w:szCs w:val="28"/>
            <w:highlight w:val="yellow"/>
            <w:u w:val="single"/>
            <w:lang w:eastAsia="ru-RU"/>
          </w:rPr>
          <w:t>закона</w:t>
        </w:r>
      </w:hyperlink>
      <w:r w:rsidRPr="009D27B4">
        <w:rPr>
          <w:rFonts w:ascii="Times New Roman" w:eastAsia="Times New Roman" w:hAnsi="Times New Roman" w:cs="Times New Roman"/>
          <w:color w:val="828282"/>
          <w:sz w:val="28"/>
          <w:szCs w:val="28"/>
          <w:highlight w:val="yellow"/>
          <w:lang w:eastAsia="ru-RU"/>
        </w:rPr>
        <w:t> )</w:t>
      </w:r>
    </w:p>
    <w:p w:rsidR="009D27B4" w:rsidRPr="009D27B4" w:rsidRDefault="009D27B4" w:rsidP="009D27B4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D27B4">
        <w:rPr>
          <w:rFonts w:ascii="Times New Roman" w:eastAsia="Times New Roman" w:hAnsi="Times New Roman" w:cs="Times New Roman"/>
          <w:color w:val="828282"/>
          <w:sz w:val="28"/>
          <w:szCs w:val="28"/>
          <w:highlight w:val="yellow"/>
          <w:lang w:eastAsia="ru-RU"/>
        </w:rPr>
        <w:t>(см. текст в предыдущей </w:t>
      </w:r>
      <w:hyperlink r:id="rId7" w:history="1">
        <w:r w:rsidRPr="009D27B4">
          <w:rPr>
            <w:rFonts w:ascii="Times New Roman" w:eastAsia="Times New Roman" w:hAnsi="Times New Roman" w:cs="Times New Roman"/>
            <w:color w:val="1A0DAB"/>
            <w:sz w:val="28"/>
            <w:szCs w:val="28"/>
            <w:highlight w:val="yellow"/>
            <w:u w:val="single"/>
            <w:lang w:eastAsia="ru-RU"/>
          </w:rPr>
          <w:t>редакции</w:t>
        </w:r>
      </w:hyperlink>
      <w:r w:rsidRPr="009D27B4">
        <w:rPr>
          <w:rFonts w:ascii="Times New Roman" w:eastAsia="Times New Roman" w:hAnsi="Times New Roman" w:cs="Times New Roman"/>
          <w:color w:val="828282"/>
          <w:sz w:val="28"/>
          <w:szCs w:val="28"/>
          <w:highlight w:val="yellow"/>
          <w:lang w:eastAsia="ru-RU"/>
        </w:rPr>
        <w:t>)</w:t>
      </w:r>
    </w:p>
    <w:p w:rsidR="009D27B4" w:rsidRPr="009D27B4" w:rsidRDefault="009D27B4" w:rsidP="009D27B4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Заседания правления товарищества созываются председателем товарищества по мере необходимости в сроки, установленные уставом товарищества.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5. Заседание правления товарищества правомочно, если на нем присутствует не менее половины его членов.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6. Решения правления товарищества принимаются открытым голосованием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7. К полномочиям правления товарищества относятся: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1) выполнение решений общего собрания членов товарищества;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2) принятие решения о проведении общего собрания членов товарищества или обеспечение принятия решения общего собрания членов товарищества в форме очно-заочного или заочного голосования;</w:t>
      </w:r>
    </w:p>
    <w:p w:rsidR="009D27B4" w:rsidRPr="009D27B4" w:rsidRDefault="009D27B4" w:rsidP="009D27B4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4) руководство текущей деятельностью товарищества;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5) принятие решений о заключении договоров с организациями, осуществляющими снабжение тепловой и электрической энергией, водой, газом, водоотведение, благоустройство и охрану территории садоводства или огородничества, обеспечение пожарной безопасности и иную деятельность, направленную на достижение целей товарищества;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6) 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:rsidR="009D27B4" w:rsidRPr="009D27B4" w:rsidRDefault="009D27B4" w:rsidP="009D27B4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обеспечение исполнения обязательств по договорам, заключенным товариществом;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8) 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9) составление приходно-расходных смет и отчетов правления товарищества и представление их на утверждение общему собранию членов товарищества;</w:t>
      </w:r>
    </w:p>
    <w:p w:rsidR="009D27B4" w:rsidRPr="009D27B4" w:rsidRDefault="009D27B4" w:rsidP="009D27B4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11) обеспечение ведения делопроизводства в товариществе и содержание архива в товариществе;</w:t>
      </w:r>
    </w:p>
    <w:p w:rsidR="009D27B4" w:rsidRPr="009D27B4" w:rsidRDefault="009D27B4" w:rsidP="000673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12) контроль за своевременным внесением взносов, предусмотренных настоящим Федеральным законом, обращение в суд за взысканием задолженности по уплате взносов или платы, предусмотренной </w:t>
      </w:r>
      <w:hyperlink r:id="rId8" w:anchor="dst100031" w:history="1">
        <w:r w:rsidRPr="009D27B4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5</w:t>
        </w:r>
      </w:hyperlink>
      <w:r w:rsidRPr="009D27B4">
        <w:rPr>
          <w:rFonts w:ascii="Arial" w:eastAsia="Times New Roman" w:hAnsi="Arial" w:cs="Arial"/>
          <w:sz w:val="24"/>
          <w:szCs w:val="24"/>
          <w:lang w:eastAsia="ru-RU"/>
        </w:rPr>
        <w:t> настоящего Федерального закона, в судебном порядке;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13) рассмотрение заявлений членов товарищества;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14)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товарищества, положений об оплате труда работников и членов органов товарищества, заключивших трудовые договоры с товариществом;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15) подготовка финансово-экономического обоснования размера взносов, вносимых членами товарищества, и размера платы, предусмотренной </w:t>
      </w:r>
      <w:hyperlink r:id="rId9" w:anchor="dst100031" w:history="1">
        <w:r w:rsidRPr="009D27B4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частью 3 статьи 5</w:t>
        </w:r>
      </w:hyperlink>
      <w:r w:rsidRPr="009D27B4">
        <w:rPr>
          <w:rFonts w:ascii="Arial" w:eastAsia="Times New Roman" w:hAnsi="Arial" w:cs="Arial"/>
          <w:sz w:val="24"/>
          <w:szCs w:val="24"/>
          <w:lang w:eastAsia="ru-RU"/>
        </w:rPr>
        <w:t> настоящего Федерального закона;</w:t>
      </w:r>
    </w:p>
    <w:p w:rsidR="0006736D" w:rsidRDefault="0006736D" w:rsidP="000673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7B4" w:rsidRPr="009D27B4" w:rsidRDefault="009D27B4" w:rsidP="000673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b/>
          <w:sz w:val="24"/>
          <w:szCs w:val="24"/>
          <w:lang w:eastAsia="ru-RU"/>
        </w:rPr>
        <w:t>16) прием граждан в члены товарищества.</w:t>
      </w:r>
    </w:p>
    <w:p w:rsidR="009D27B4" w:rsidRDefault="009D27B4" w:rsidP="009D27B4">
      <w:pPr>
        <w:shd w:val="clear" w:color="auto" w:fill="FFFFFF"/>
        <w:spacing w:before="210" w:after="0" w:line="36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color w:val="828282"/>
          <w:sz w:val="24"/>
          <w:szCs w:val="24"/>
          <w:highlight w:val="yellow"/>
          <w:lang w:eastAsia="ru-RU"/>
        </w:rPr>
        <w:t>(п. 16 введен Федеральным </w:t>
      </w:r>
      <w:hyperlink r:id="rId10" w:anchor="dst100108" w:history="1">
        <w:r w:rsidRPr="009D27B4">
          <w:rPr>
            <w:rFonts w:ascii="Arial" w:eastAsia="Times New Roman" w:hAnsi="Arial" w:cs="Arial"/>
            <w:color w:val="1A0DAB"/>
            <w:sz w:val="24"/>
            <w:szCs w:val="24"/>
            <w:highlight w:val="yellow"/>
            <w:u w:val="single"/>
            <w:lang w:eastAsia="ru-RU"/>
          </w:rPr>
          <w:t>законом</w:t>
        </w:r>
      </w:hyperlink>
      <w:r w:rsidRPr="009D27B4">
        <w:rPr>
          <w:rFonts w:ascii="Arial" w:eastAsia="Times New Roman" w:hAnsi="Arial" w:cs="Arial"/>
          <w:color w:val="828282"/>
          <w:sz w:val="24"/>
          <w:szCs w:val="24"/>
          <w:highlight w:val="yellow"/>
          <w:lang w:eastAsia="ru-RU"/>
        </w:rPr>
        <w:t> от 14.07.2022 N 312-ФЗ)</w:t>
      </w:r>
    </w:p>
    <w:p w:rsidR="0006736D" w:rsidRDefault="0006736D" w:rsidP="009D27B4">
      <w:pPr>
        <w:shd w:val="clear" w:color="auto" w:fill="FFFFFF"/>
        <w:spacing w:before="210" w:after="0" w:line="36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6736D">
        <w:rPr>
          <w:rFonts w:ascii="Arial" w:hAnsi="Arial" w:cs="Arial"/>
          <w:color w:val="111111"/>
          <w:u w:val="single"/>
          <w:shd w:val="clear" w:color="auto" w:fill="E3F1F4"/>
        </w:rPr>
        <w:t>Комментарии к п.16)</w:t>
      </w:r>
      <w:r>
        <w:rPr>
          <w:rFonts w:ascii="Arial" w:hAnsi="Arial" w:cs="Arial"/>
          <w:color w:val="111111"/>
          <w:shd w:val="clear" w:color="auto" w:fill="E3F1F4"/>
        </w:rPr>
        <w:t>Заявление можно подать в правление лично либо отправить по почте. После его получения правление должно рассмотреть его в течение 30 дней и, если установленные законом основания для отказа в приеме в члены СНТ отсутствует, принять решение об удовлетворении заявления.</w:t>
      </w:r>
    </w:p>
    <w:p w:rsidR="0006736D" w:rsidRPr="0006736D" w:rsidRDefault="0006736D" w:rsidP="0006736D">
      <w:pPr>
        <w:shd w:val="clear" w:color="auto" w:fill="FFFFFF"/>
        <w:spacing w:before="210" w:after="0" w:line="360" w:lineRule="atLeast"/>
        <w:rPr>
          <w:rFonts w:ascii="Arial" w:hAnsi="Arial" w:cs="Arial"/>
          <w:color w:val="111111"/>
          <w:shd w:val="clear" w:color="auto" w:fill="E3F1F4"/>
        </w:rPr>
      </w:pPr>
      <w:r w:rsidRPr="0006736D">
        <w:rPr>
          <w:rFonts w:ascii="Arial" w:hAnsi="Arial" w:cs="Arial"/>
          <w:color w:val="111111"/>
          <w:shd w:val="clear" w:color="auto" w:fill="E3F1F4"/>
        </w:rPr>
        <w:t>Уточнены требования к заявлению о приеме: в нем необходимо будет указать номер телефона для связи, по которому в том числе может быть направлено сообщение, включая короткое текстовое сообщение (то есть, номер мобильного телефона).</w:t>
      </w:r>
    </w:p>
    <w:p w:rsidR="0006736D" w:rsidRPr="0006736D" w:rsidRDefault="0006736D" w:rsidP="0006736D">
      <w:pPr>
        <w:shd w:val="clear" w:color="auto" w:fill="FFFFFF"/>
        <w:spacing w:before="210" w:after="0" w:line="360" w:lineRule="atLeast"/>
        <w:rPr>
          <w:rFonts w:ascii="Arial" w:hAnsi="Arial" w:cs="Arial"/>
          <w:color w:val="111111"/>
          <w:shd w:val="clear" w:color="auto" w:fill="E3F1F4"/>
        </w:rPr>
      </w:pPr>
      <w:r w:rsidRPr="0006736D">
        <w:rPr>
          <w:rFonts w:ascii="Arial" w:hAnsi="Arial" w:cs="Arial"/>
          <w:color w:val="111111"/>
          <w:shd w:val="clear" w:color="auto" w:fill="E3F1F4"/>
        </w:rPr>
        <w:t>Днем вступления в СНТ будет день принятия правлением соответствующего решения.</w:t>
      </w:r>
    </w:p>
    <w:p w:rsidR="0006736D" w:rsidRDefault="0006736D" w:rsidP="009D27B4">
      <w:pPr>
        <w:shd w:val="clear" w:color="auto" w:fill="FFFFFF"/>
        <w:spacing w:before="210" w:after="0" w:line="360" w:lineRule="atLeast"/>
        <w:rPr>
          <w:rFonts w:ascii="Arial" w:hAnsi="Arial" w:cs="Arial"/>
          <w:color w:val="111111"/>
          <w:shd w:val="clear" w:color="auto" w:fill="E3F1F4"/>
        </w:rPr>
      </w:pPr>
      <w:r w:rsidRPr="0006736D">
        <w:rPr>
          <w:rFonts w:ascii="Arial" w:hAnsi="Arial" w:cs="Arial"/>
          <w:color w:val="111111"/>
          <w:shd w:val="clear" w:color="auto" w:fill="E3F1F4"/>
        </w:rPr>
        <w:t xml:space="preserve">Цель внесенного изменения – упростить процедуру приема в члены СНТ, которая в значительной степени является формальностью (нельзя отказать тому, кто соответствует всем требованиям). </w:t>
      </w:r>
    </w:p>
    <w:p w:rsidR="0006736D" w:rsidRPr="0006736D" w:rsidRDefault="0006736D" w:rsidP="009D27B4">
      <w:pPr>
        <w:shd w:val="clear" w:color="auto" w:fill="FFFFFF"/>
        <w:spacing w:before="210" w:after="0" w:line="360" w:lineRule="atLeast"/>
        <w:rPr>
          <w:rFonts w:ascii="Arial" w:hAnsi="Arial" w:cs="Arial"/>
          <w:color w:val="111111"/>
          <w:shd w:val="clear" w:color="auto" w:fill="E3F1F4"/>
        </w:rPr>
      </w:pPr>
      <w:r w:rsidRPr="0006736D">
        <w:rPr>
          <w:rFonts w:ascii="Arial" w:hAnsi="Arial" w:cs="Arial"/>
          <w:color w:val="111111"/>
          <w:shd w:val="clear" w:color="auto" w:fill="E3F1F4"/>
        </w:rPr>
        <w:t>А вот исключение из членов СНТ является менее формальным вопросом, в связи с чем эти полномочия сохранены за общим собранием садоводов.</w:t>
      </w:r>
    </w:p>
    <w:p w:rsidR="0006736D" w:rsidRDefault="0006736D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8. Правление товарищества в соответствии с его уставом имеет право принимать решения, необходимые для достижения целей деятельности товарищества, за исключением решений, отнесенных настоящим Федеральным законом и уставом товарищества к полномочиям иных органов товарищества.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9. Приходно-расходная смета товарищества, составляемая правлением товарищества, должна содержать указание на размер предполагаемых доходов и расходов товарищества, перечень предполагаемых мероприятий и ответственных за их обеспечение должностных лиц товарищества.</w:t>
      </w:r>
    </w:p>
    <w:p w:rsidR="009D27B4" w:rsidRPr="009D27B4" w:rsidRDefault="009D27B4" w:rsidP="009D2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7B4">
        <w:rPr>
          <w:rFonts w:ascii="Arial" w:eastAsia="Times New Roman" w:hAnsi="Arial" w:cs="Arial"/>
          <w:sz w:val="24"/>
          <w:szCs w:val="24"/>
          <w:lang w:eastAsia="ru-RU"/>
        </w:rPr>
        <w:t>10. 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товарищества.</w:t>
      </w:r>
    </w:p>
    <w:sectPr w:rsidR="009D27B4" w:rsidRPr="009D27B4" w:rsidSect="00B47FB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FB" w:rsidRDefault="00865CFB" w:rsidP="0006736D">
      <w:pPr>
        <w:spacing w:after="0" w:line="240" w:lineRule="auto"/>
      </w:pPr>
      <w:r>
        <w:separator/>
      </w:r>
    </w:p>
  </w:endnote>
  <w:endnote w:type="continuationSeparator" w:id="1">
    <w:p w:rsidR="00865CFB" w:rsidRDefault="00865CFB" w:rsidP="0006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FB" w:rsidRDefault="00865CFB" w:rsidP="0006736D">
      <w:pPr>
        <w:spacing w:after="0" w:line="240" w:lineRule="auto"/>
      </w:pPr>
      <w:r>
        <w:separator/>
      </w:r>
    </w:p>
  </w:footnote>
  <w:footnote w:type="continuationSeparator" w:id="1">
    <w:p w:rsidR="00865CFB" w:rsidRDefault="00865CFB" w:rsidP="0006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3167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736D" w:rsidRDefault="00B47FB6">
        <w:pPr>
          <w:pStyle w:val="a4"/>
          <w:jc w:val="center"/>
        </w:pPr>
        <w:r>
          <w:fldChar w:fldCharType="begin"/>
        </w:r>
        <w:r w:rsidR="0006736D">
          <w:instrText xml:space="preserve"> PAGE   \* MERGEFORMAT </w:instrText>
        </w:r>
        <w:r>
          <w:fldChar w:fldCharType="separate"/>
        </w:r>
        <w:r w:rsidR="00634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36D" w:rsidRDefault="000673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7B4"/>
    <w:rsid w:val="0001318C"/>
    <w:rsid w:val="0006736D"/>
    <w:rsid w:val="00634F24"/>
    <w:rsid w:val="00865CFB"/>
    <w:rsid w:val="009814E1"/>
    <w:rsid w:val="009D27B4"/>
    <w:rsid w:val="00A6486F"/>
    <w:rsid w:val="00B4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36D"/>
  </w:style>
  <w:style w:type="paragraph" w:styleId="a6">
    <w:name w:val="footer"/>
    <w:basedOn w:val="a"/>
    <w:link w:val="a7"/>
    <w:uiPriority w:val="99"/>
    <w:unhideWhenUsed/>
    <w:rsid w:val="0006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30/e9971511d19a7999a6ee41be8aa69fb43016a8d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1173/7c5fd1a7648e67d13b83633e60ac17c7be793d4c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1900/3d0cac60971a511280cbba229d9b6329c07731f7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onsultant.ru/document/cons_doc_LAW_421900/3d0cac60971a511280cbba229d9b6329c07731f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422130/e9971511d19a7999a6ee41be8aa69fb43016a8d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Kolomatskaya, Elena</dc:creator>
  <cp:lastModifiedBy>Елена Егорова</cp:lastModifiedBy>
  <cp:revision>2</cp:revision>
  <cp:lastPrinted>2022-08-08T14:13:00Z</cp:lastPrinted>
  <dcterms:created xsi:type="dcterms:W3CDTF">2022-09-16T09:32:00Z</dcterms:created>
  <dcterms:modified xsi:type="dcterms:W3CDTF">2022-09-16T09:32:00Z</dcterms:modified>
</cp:coreProperties>
</file>